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Calibri" w:cstheme="minorHAnsi"/>
          <w:b/>
          <w:bCs/>
          <w:sz w:val="28"/>
          <w:szCs w:val="28"/>
        </w:rPr>
      </w:pPr>
      <w:r>
        <w:rPr>
          <w:b/>
          <w:bCs/>
          <w:sz w:val="28"/>
          <w:szCs w:val="28"/>
        </w:rPr>
        <w:t xml:space="preserve">BIOL 380: </w:t>
      </w:r>
      <w:r>
        <w:rPr>
          <w:rFonts w:cs="Calibri" w:cstheme="minorHAnsi"/>
          <w:b/>
          <w:bCs/>
          <w:sz w:val="28"/>
          <w:szCs w:val="28"/>
        </w:rPr>
        <w:t>Bioacoustics in the prairies: Grassland birds as indicators of biodiversity change</w:t>
      </w:r>
    </w:p>
    <w:p>
      <w:pPr>
        <w:pStyle w:val="Normal"/>
        <w:rPr>
          <w:b/>
          <w:bCs/>
          <w:sz w:val="28"/>
          <w:szCs w:val="28"/>
        </w:rPr>
      </w:pPr>
      <w:r>
        <w:rPr>
          <w:b/>
          <w:bCs/>
          <w:sz w:val="28"/>
          <w:szCs w:val="28"/>
        </w:rPr>
        <w:t xml:space="preserve">Instructors: </w:t>
      </w:r>
    </w:p>
    <w:p>
      <w:pPr>
        <w:pStyle w:val="Normal"/>
        <w:rPr/>
      </w:pPr>
      <w:r>
        <w:rPr/>
        <w:t xml:space="preserve">Iqbal Bhalla, Dept. Biology email: </w:t>
      </w:r>
      <w:hyperlink r:id="rId2">
        <w:r>
          <w:rPr>
            <w:rStyle w:val="Hyperlink"/>
          </w:rPr>
          <w:t>iqbal.bhalla@usask.ca</w:t>
        </w:r>
      </w:hyperlink>
    </w:p>
    <w:p>
      <w:pPr>
        <w:pStyle w:val="Normal"/>
        <w:rPr/>
      </w:pPr>
      <w:r>
        <w:rPr/>
        <w:t xml:space="preserve">Christy Morrissey, Dept. Biology email: </w:t>
      </w:r>
      <w:hyperlink r:id="rId3">
        <w:r>
          <w:rPr>
            <w:rStyle w:val="Hyperlink"/>
          </w:rPr>
          <w:t>Christy.morrissey@usask.ca</w:t>
        </w:r>
      </w:hyperlink>
    </w:p>
    <w:p>
      <w:pPr>
        <w:pStyle w:val="Normal"/>
        <w:rPr>
          <w:rFonts w:cs="Calibri" w:cstheme="minorHAnsi"/>
          <w:i/>
          <w:i/>
          <w:iCs/>
        </w:rPr>
      </w:pPr>
      <w:r>
        <w:rPr>
          <w:rFonts w:cs="Calibri" w:cstheme="minorHAnsi"/>
          <w:b/>
          <w:bCs/>
          <w:sz w:val="28"/>
          <w:szCs w:val="28"/>
        </w:rPr>
        <w:t>Description</w:t>
      </w:r>
    </w:p>
    <w:p>
      <w:pPr>
        <w:pStyle w:val="NormalWeb"/>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The project seeks up to 5 students who will learn basic bioacoustic methods in ecology and help to run and assess automated sound recognizers for a set of four ecologically and acoustically distinct species inhabiting the prairie grasslands of southern and central Saskatchewan. Automated Recording Units (ARUs) can collect many hours of recordings, but manually processing the recordings to survey data is time consuming and can be inefficient. Several automatic recognizers exist that can identify individual species from raw acoustic signal and thus economize the processing of large volumes of data; however, such recognizes need to be validated for good performance. Data processed by students will contribute to the continued use of HawkEars classifier and the estimation of call density from HawkEars output. </w:t>
      </w:r>
    </w:p>
    <w:p>
      <w:pPr>
        <w:pStyle w:val="NormalWeb"/>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Web"/>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Each student will learn:</w:t>
      </w:r>
    </w:p>
    <w:p>
      <w:pPr>
        <w:pStyle w:val="ListParagraph"/>
        <w:numPr>
          <w:ilvl w:val="0"/>
          <w:numId w:val="1"/>
        </w:numPr>
        <w:spacing w:lineRule="auto" w:line="240" w:before="0" w:after="0"/>
        <w:contextualSpacing/>
        <w:rPr>
          <w:rFonts w:cs="Calibri" w:cstheme="minorHAnsi"/>
        </w:rPr>
      </w:pPr>
      <w:r>
        <w:rPr>
          <w:rFonts w:cs="Calibri" w:cstheme="minorHAnsi"/>
        </w:rPr>
        <w:t>The basics of bioacoustic theory, including biological sound production, transmission, and capture as it pertains to ecological field research.</w:t>
      </w:r>
    </w:p>
    <w:p>
      <w:pPr>
        <w:pStyle w:val="ListParagraph"/>
        <w:numPr>
          <w:ilvl w:val="0"/>
          <w:numId w:val="1"/>
        </w:numPr>
        <w:spacing w:lineRule="auto" w:line="240" w:before="0" w:after="0"/>
        <w:contextualSpacing/>
        <w:rPr>
          <w:rFonts w:cs="Calibri" w:cstheme="minorHAnsi"/>
        </w:rPr>
      </w:pPr>
      <w:r>
        <w:rPr>
          <w:rFonts w:cs="Calibri" w:cstheme="minorHAnsi"/>
        </w:rPr>
        <w:t>The basics of ecological data management in R (optional).</w:t>
      </w:r>
    </w:p>
    <w:p>
      <w:pPr>
        <w:pStyle w:val="ListParagraph"/>
        <w:numPr>
          <w:ilvl w:val="0"/>
          <w:numId w:val="1"/>
        </w:numPr>
        <w:spacing w:lineRule="auto" w:line="240" w:before="0" w:after="0"/>
        <w:contextualSpacing/>
        <w:rPr>
          <w:rFonts w:cs="Calibri" w:cstheme="minorHAnsi"/>
        </w:rPr>
      </w:pPr>
      <w:r>
        <w:rPr>
          <w:rFonts w:cs="Calibri" w:cstheme="minorHAnsi"/>
        </w:rPr>
        <w:t xml:space="preserve">How to prepare, deploy and troubleshoot ARU in field conditions. </w:t>
      </w:r>
    </w:p>
    <w:p>
      <w:pPr>
        <w:pStyle w:val="ListParagraph"/>
        <w:numPr>
          <w:ilvl w:val="0"/>
          <w:numId w:val="1"/>
        </w:numPr>
        <w:spacing w:lineRule="auto" w:line="240" w:before="0" w:after="0"/>
        <w:contextualSpacing/>
        <w:rPr>
          <w:rFonts w:cs="Calibri" w:cstheme="minorHAnsi"/>
        </w:rPr>
      </w:pPr>
      <w:r>
        <w:rPr>
          <w:rFonts w:cs="Calibri" w:cstheme="minorHAnsi"/>
        </w:rPr>
        <w:t>How to identify four target birds: Thick billed longspur, Sprague's Pipit, Baird's Sparrow, and Chestnut-collared Longspur by sound and visual analysis of spectrograms.</w:t>
      </w:r>
    </w:p>
    <w:p>
      <w:pPr>
        <w:pStyle w:val="ListParagraph"/>
        <w:numPr>
          <w:ilvl w:val="0"/>
          <w:numId w:val="1"/>
        </w:numPr>
        <w:spacing w:lineRule="auto" w:line="240" w:before="0" w:after="0"/>
        <w:contextualSpacing/>
        <w:rPr>
          <w:rFonts w:cs="Calibri" w:cstheme="minorHAnsi"/>
        </w:rPr>
      </w:pPr>
      <w:r>
        <w:rPr>
          <w:rFonts w:cs="Calibri" w:cstheme="minorHAnsi"/>
        </w:rPr>
        <w:t xml:space="preserve">How to validate </w:t>
      </w:r>
      <w:r>
        <w:rPr>
          <w:rFonts w:eastAsia="Times New Roman" w:cs="Calibri" w:cstheme="minorHAnsi"/>
        </w:rPr>
        <w:t xml:space="preserve">recognizer results </w:t>
      </w:r>
      <w:r>
        <w:rPr>
          <w:rFonts w:cs="Calibri" w:cstheme="minorHAnsi"/>
        </w:rPr>
        <w:t>using the WildTrax platform.</w:t>
      </w:r>
    </w:p>
    <w:p>
      <w:pPr>
        <w:pStyle w:val="ListParagraph"/>
        <w:numPr>
          <w:ilvl w:val="0"/>
          <w:numId w:val="1"/>
        </w:numPr>
        <w:spacing w:lineRule="auto" w:line="240" w:before="0" w:after="0"/>
        <w:contextualSpacing/>
        <w:rPr>
          <w:rFonts w:eastAsia="Times New Roman" w:cs="Calibri" w:cstheme="minorHAnsi"/>
        </w:rPr>
      </w:pPr>
      <w:r>
        <w:rPr>
          <w:rFonts w:eastAsia="Times New Roman" w:cs="Calibri" w:cstheme="minorHAnsi"/>
        </w:rPr>
        <w:t>Conduct preliminary analyses with the data produced as a class.</w:t>
      </w:r>
    </w:p>
    <w:p>
      <w:pPr>
        <w:pStyle w:val="ListParagraph"/>
        <w:spacing w:lineRule="auto" w:line="240" w:before="0" w:after="0"/>
        <w:ind w:left="410"/>
        <w:contextualSpacing/>
        <w:rPr>
          <w:rFonts w:ascii="Calibri" w:hAnsi="Calibri" w:eastAsia="Times New Roman" w:cs="Calibri"/>
        </w:rPr>
      </w:pPr>
      <w:r>
        <w:rPr>
          <w:rFonts w:eastAsia="Times New Roman" w:cs="Calibri"/>
        </w:rPr>
      </w:r>
    </w:p>
    <w:p>
      <w:pPr>
        <w:pStyle w:val="ListParagraph"/>
        <w:spacing w:lineRule="auto" w:line="240" w:before="0" w:after="0"/>
        <w:ind w:hanging="0" w:left="0"/>
        <w:contextualSpacing/>
        <w:rPr>
          <w:rFonts w:ascii="Calibri" w:hAnsi="Calibri" w:eastAsia="Times New Roman" w:cs="Calibri"/>
        </w:rPr>
      </w:pPr>
      <w:r>
        <w:rPr>
          <w:rFonts w:eastAsia="Times New Roman" w:cs="Calibri"/>
        </w:rPr>
      </w:r>
    </w:p>
    <w:p>
      <w:pPr>
        <w:pStyle w:val="Normal"/>
        <w:spacing w:lineRule="auto" w:line="240" w:before="0" w:after="0"/>
        <w:rPr/>
      </w:pPr>
      <w:r>
        <w:rPr>
          <w:b/>
          <w:bCs/>
          <w:sz w:val="28"/>
          <w:szCs w:val="28"/>
        </w:rPr>
        <w:t>Assessment- revised 5 August 2025</w:t>
      </w:r>
    </w:p>
    <w:p>
      <w:pPr>
        <w:pStyle w:val="Normal"/>
        <w:rPr/>
      </w:pPr>
      <w:r>
        <w:rPr/>
      </w:r>
    </w:p>
    <w:tbl>
      <w:tblPr>
        <w:tblStyle w:val="TableGrid"/>
        <w:tblpPr w:vertAnchor="text" w:horzAnchor="margin" w:leftFromText="180" w:rightFromText="180" w:tblpX="0" w:tblpY="151"/>
        <w:tblW w:w="8075"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3347"/>
        <w:gridCol w:w="4727"/>
      </w:tblGrid>
      <w:tr>
        <w:trPr>
          <w:trHeight w:val="229" w:hRule="atLeast"/>
        </w:trPr>
        <w:tc>
          <w:tcPr>
            <w:tcW w:w="3347" w:type="dxa"/>
            <w:tcBorders/>
          </w:tcPr>
          <w:p>
            <w:pPr>
              <w:pStyle w:val="Normal"/>
              <w:widowControl/>
              <w:suppressAutoHyphens w:val="true"/>
              <w:spacing w:lineRule="auto" w:line="240" w:before="0" w:after="0"/>
              <w:jc w:val="both"/>
              <w:rPr>
                <w:rFonts w:ascii="Calibri" w:hAnsi="Calibri" w:cs="Calibri" w:asciiTheme="minorHAnsi" w:cstheme="minorHAnsi" w:hAnsiTheme="minorHAnsi"/>
              </w:rPr>
            </w:pPr>
            <w:r>
              <w:rPr>
                <w:rFonts w:eastAsia="Cambria" w:cs="Calibri" w:cstheme="minorHAnsi"/>
                <w:b/>
                <w:kern w:val="0"/>
                <w:sz w:val="22"/>
                <w:szCs w:val="22"/>
                <w:lang w:val="en-US" w:eastAsia="en-US" w:bidi="ar-SA"/>
              </w:rPr>
              <w:t>Assessment Metric:</w:t>
            </w:r>
          </w:p>
        </w:tc>
        <w:tc>
          <w:tcPr>
            <w:tcW w:w="4727" w:type="dxa"/>
            <w:tcBorders/>
          </w:tcPr>
          <w:p>
            <w:pPr>
              <w:pStyle w:val="Normal"/>
              <w:widowControl/>
              <w:suppressAutoHyphens w:val="true"/>
              <w:spacing w:lineRule="auto" w:line="240" w:before="0" w:after="0"/>
              <w:jc w:val="both"/>
              <w:rPr>
                <w:rFonts w:ascii="Calibri" w:hAnsi="Calibri" w:cs="Calibri" w:asciiTheme="minorHAnsi" w:cstheme="minorHAnsi" w:hAnsiTheme="minorHAnsi"/>
              </w:rPr>
            </w:pPr>
            <w:r>
              <w:rPr>
                <w:rFonts w:eastAsia="Cambria" w:cs="Calibri" w:cstheme="minorHAnsi"/>
                <w:b/>
                <w:kern w:val="0"/>
                <w:sz w:val="22"/>
                <w:szCs w:val="22"/>
                <w:lang w:val="en-US" w:eastAsia="en-US" w:bidi="ar-SA"/>
              </w:rPr>
              <w:t>Date(s) Grade is to be  Assigned:</w:t>
            </w:r>
          </w:p>
        </w:tc>
      </w:tr>
      <w:tr>
        <w:trPr>
          <w:trHeight w:val="702" w:hRule="atLeast"/>
        </w:trPr>
        <w:tc>
          <w:tcPr>
            <w:tcW w:w="3347" w:type="dxa"/>
            <w:tcBorders/>
          </w:tcPr>
          <w:p>
            <w:pPr>
              <w:pStyle w:val="Normal"/>
              <w:widowControl/>
              <w:suppressAutoHyphens w:val="true"/>
              <w:spacing w:lineRule="auto" w:line="240" w:before="0" w:after="0"/>
              <w:jc w:val="left"/>
              <w:rPr>
                <w:rFonts w:ascii="Calibri" w:hAnsi="Calibri" w:cs="Calibri" w:asciiTheme="minorHAnsi" w:cstheme="minorHAnsi" w:hAnsiTheme="minorHAnsi"/>
              </w:rPr>
            </w:pPr>
            <w:r>
              <w:rPr>
                <w:rFonts w:eastAsia="Cambria" w:cs="Calibri" w:cstheme="minorHAnsi"/>
                <w:kern w:val="0"/>
                <w:sz w:val="22"/>
                <w:szCs w:val="22"/>
                <w:lang w:val="en-US" w:eastAsia="en-US" w:bidi="ar-SA"/>
              </w:rPr>
              <w:t>Practical Research Performance (25%)</w:t>
            </w:r>
          </w:p>
        </w:tc>
        <w:tc>
          <w:tcPr>
            <w:tcW w:w="4727" w:type="dxa"/>
            <w:tcBorders/>
          </w:tcPr>
          <w:p>
            <w:pPr>
              <w:pStyle w:val="Normal"/>
              <w:widowControl/>
              <w:suppressAutoHyphens w:val="true"/>
              <w:spacing w:lineRule="auto" w:line="240" w:before="0" w:after="0"/>
              <w:jc w:val="left"/>
              <w:rPr>
                <w:rFonts w:ascii="Calibri" w:hAnsi="Calibri" w:cs="Calibri" w:asciiTheme="minorHAnsi" w:cstheme="minorHAnsi" w:hAnsiTheme="minorHAnsi"/>
              </w:rPr>
            </w:pPr>
            <w:r>
              <w:rPr>
                <w:rFonts w:eastAsia="Cambria" w:cs="Calibri" w:cstheme="minorHAnsi"/>
                <w:kern w:val="0"/>
                <w:sz w:val="22"/>
                <w:szCs w:val="22"/>
                <w:lang w:val="en-US" w:eastAsia="en-US" w:bidi="ar-SA"/>
              </w:rPr>
              <w:t>Field work</w:t>
            </w:r>
            <w:r>
              <w:rPr>
                <w:rFonts w:eastAsia="Cambria" w:cs="Calibri" w:cstheme="minorHAnsi"/>
                <w:kern w:val="0"/>
                <w:sz w:val="22"/>
                <w:szCs w:val="22"/>
                <w:lang w:val="en-US" w:eastAsia="en-US" w:bidi="ar-SA"/>
              </w:rPr>
              <w:t xml:space="preserve"> </w:t>
            </w:r>
            <w:r>
              <w:rPr>
                <w:rFonts w:eastAsia="Cambria" w:cs="Calibri" w:cstheme="minorHAnsi"/>
                <w:kern w:val="0"/>
                <w:sz w:val="22"/>
                <w:szCs w:val="22"/>
                <w:lang w:val="en-US" w:eastAsia="en-US" w:bidi="ar-SA"/>
              </w:rPr>
              <w:t>-</w:t>
            </w:r>
            <w:r>
              <w:rPr>
                <w:rFonts w:eastAsia="Cambria" w:cs="Calibri" w:cstheme="minorHAnsi"/>
                <w:kern w:val="0"/>
                <w:sz w:val="22"/>
                <w:szCs w:val="22"/>
                <w:lang w:val="en-US" w:eastAsia="en-US" w:bidi="ar-SA"/>
              </w:rPr>
              <w:t xml:space="preserve"> </w:t>
            </w:r>
            <w:r>
              <w:rPr>
                <w:rFonts w:eastAsia="Cambria" w:cs="Calibri" w:cstheme="minorHAnsi"/>
                <w:kern w:val="0"/>
                <w:sz w:val="22"/>
                <w:szCs w:val="22"/>
                <w:lang w:val="en-US" w:eastAsia="en-US" w:bidi="ar-SA"/>
              </w:rPr>
              <w:t>deploying and retrieving ARUs (15%; September 25)</w:t>
            </w:r>
          </w:p>
          <w:p>
            <w:pPr>
              <w:pStyle w:val="Normal"/>
              <w:widowControl/>
              <w:suppressAutoHyphens w:val="true"/>
              <w:spacing w:lineRule="auto" w:line="240" w:before="0" w:after="0"/>
              <w:jc w:val="left"/>
              <w:rPr>
                <w:rFonts w:ascii="Calibri" w:hAnsi="Calibri" w:cs="Calibri" w:asciiTheme="minorHAnsi" w:cstheme="minorHAnsi" w:hAnsiTheme="minorHAnsi"/>
              </w:rPr>
            </w:pPr>
            <w:r>
              <w:rPr>
                <w:rFonts w:eastAsia="Cambria" w:cs="Calibri" w:cstheme="minorHAnsi"/>
                <w:kern w:val="0"/>
                <w:sz w:val="22"/>
                <w:szCs w:val="22"/>
                <w:lang w:val="en-US" w:eastAsia="en-US" w:bidi="ar-SA"/>
              </w:rPr>
              <w:t>Desk work - manually annotating acoustic data (10%; October 07)</w:t>
            </w:r>
          </w:p>
        </w:tc>
      </w:tr>
      <w:tr>
        <w:trPr>
          <w:trHeight w:val="634" w:hRule="atLeast"/>
        </w:trPr>
        <w:tc>
          <w:tcPr>
            <w:tcW w:w="3347" w:type="dxa"/>
            <w:tcBorders/>
          </w:tcPr>
          <w:p>
            <w:pPr>
              <w:pStyle w:val="Normal"/>
              <w:widowControl/>
              <w:suppressAutoHyphens w:val="true"/>
              <w:spacing w:lineRule="auto" w:line="240" w:before="0" w:after="0"/>
              <w:jc w:val="left"/>
              <w:rPr>
                <w:rFonts w:ascii="Calibri" w:hAnsi="Calibri" w:cs="Calibri" w:asciiTheme="minorHAnsi" w:cstheme="minorHAnsi" w:hAnsiTheme="minorHAnsi"/>
              </w:rPr>
            </w:pPr>
            <w:r>
              <w:rPr>
                <w:rFonts w:eastAsia="Cambria" w:cs="Calibri" w:cstheme="minorHAnsi"/>
                <w:kern w:val="0"/>
                <w:sz w:val="22"/>
                <w:szCs w:val="22"/>
                <w:lang w:val="en-US" w:eastAsia="en-US" w:bidi="ar-SA"/>
              </w:rPr>
              <w:t>Annotated Bibliography</w:t>
            </w:r>
            <w:r>
              <w:rPr>
                <w:rFonts w:eastAsia="Cambria" w:cs="Calibri" w:cstheme="minorHAnsi"/>
                <w:kern w:val="0"/>
                <w:sz w:val="22"/>
                <w:szCs w:val="22"/>
                <w:lang w:val="en-US" w:eastAsia="en-US" w:bidi="ar-SA"/>
              </w:rPr>
              <w:t xml:space="preserve"> (10%)</w:t>
            </w:r>
          </w:p>
          <w:p>
            <w:pPr>
              <w:pStyle w:val="Normal"/>
              <w:widowControl/>
              <w:suppressAutoHyphens w:val="true"/>
              <w:spacing w:lineRule="auto" w:line="240" w:before="0" w:after="0"/>
              <w:jc w:val="left"/>
              <w:rPr>
                <w:rFonts w:cs="Calibri" w:cstheme="minorHAnsi"/>
              </w:rPr>
            </w:pPr>
            <w:r>
              <w:rPr>
                <w:rFonts w:cs="Calibri" w:cstheme="minorHAnsi"/>
              </w:rPr>
            </w:r>
          </w:p>
        </w:tc>
        <w:tc>
          <w:tcPr>
            <w:tcW w:w="4727" w:type="dxa"/>
            <w:tcBorders/>
          </w:tcPr>
          <w:p>
            <w:pPr>
              <w:pStyle w:val="Normal"/>
              <w:widowControl/>
              <w:suppressAutoHyphens w:val="true"/>
              <w:spacing w:lineRule="auto" w:line="240" w:before="0" w:after="0"/>
              <w:jc w:val="left"/>
              <w:rPr>
                <w:rFonts w:cs="Calibri" w:cstheme="minorHAnsi"/>
              </w:rPr>
            </w:pPr>
            <w:r>
              <w:rPr>
                <w:rFonts w:eastAsia="Cambria" w:cs="Calibri" w:cstheme="minorHAnsi"/>
                <w:kern w:val="0"/>
                <w:sz w:val="22"/>
                <w:szCs w:val="22"/>
                <w:lang w:val="en-US" w:eastAsia="en-US" w:bidi="ar-SA"/>
              </w:rPr>
              <w:t>Thesis statement and annotated bibliography due October 14</w:t>
            </w:r>
          </w:p>
        </w:tc>
      </w:tr>
      <w:tr>
        <w:trPr>
          <w:trHeight w:val="229" w:hRule="atLeast"/>
        </w:trPr>
        <w:tc>
          <w:tcPr>
            <w:tcW w:w="3347" w:type="dxa"/>
            <w:tcBorders/>
          </w:tcPr>
          <w:p>
            <w:pPr>
              <w:pStyle w:val="Normal"/>
              <w:widowControl/>
              <w:suppressAutoHyphens w:val="true"/>
              <w:spacing w:lineRule="auto" w:line="240" w:before="0" w:after="0"/>
              <w:jc w:val="left"/>
              <w:rPr>
                <w:rFonts w:ascii="Calibri" w:hAnsi="Calibri" w:cs="Calibri" w:asciiTheme="minorHAnsi" w:cstheme="minorHAnsi" w:hAnsiTheme="minorHAnsi"/>
              </w:rPr>
            </w:pPr>
            <w:r>
              <w:rPr>
                <w:rFonts w:eastAsia="Cambria" w:cs="Calibri" w:cstheme="minorHAnsi"/>
                <w:kern w:val="0"/>
                <w:sz w:val="22"/>
                <w:szCs w:val="22"/>
                <w:lang w:val="en-US" w:eastAsia="en-US" w:bidi="ar-SA"/>
              </w:rPr>
              <w:t>Research Notebook (25%)</w:t>
            </w:r>
          </w:p>
        </w:tc>
        <w:tc>
          <w:tcPr>
            <w:tcW w:w="4727" w:type="dxa"/>
            <w:tcBorders/>
          </w:tcPr>
          <w:p>
            <w:pPr>
              <w:pStyle w:val="Normal"/>
              <w:widowControl/>
              <w:suppressAutoHyphens w:val="true"/>
              <w:spacing w:lineRule="auto" w:line="240" w:before="0" w:after="0"/>
              <w:jc w:val="left"/>
              <w:rPr>
                <w:rFonts w:ascii="Calibri" w:hAnsi="Calibri" w:cs="Calibri" w:asciiTheme="minorHAnsi" w:cstheme="minorHAnsi" w:hAnsiTheme="minorHAnsi"/>
              </w:rPr>
            </w:pPr>
            <w:r>
              <w:rPr>
                <w:rFonts w:eastAsia="Cambria" w:cs="Calibri" w:cstheme="minorHAnsi"/>
                <w:kern w:val="0"/>
                <w:sz w:val="22"/>
                <w:szCs w:val="22"/>
                <w:lang w:val="en-US" w:eastAsia="en-US" w:bidi="ar-SA"/>
              </w:rPr>
              <w:t>Submit research notebook November 1</w:t>
            </w:r>
          </w:p>
        </w:tc>
      </w:tr>
      <w:tr>
        <w:trPr>
          <w:trHeight w:val="229" w:hRule="atLeast"/>
        </w:trPr>
        <w:tc>
          <w:tcPr>
            <w:tcW w:w="3347" w:type="dxa"/>
            <w:tcBorders>
              <w:top w:val="nil"/>
            </w:tcBorders>
          </w:tcPr>
          <w:p>
            <w:pPr>
              <w:pStyle w:val="Normal"/>
              <w:widowControl/>
              <w:spacing w:before="0" w:after="0"/>
              <w:jc w:val="left"/>
              <w:rPr>
                <w:rFonts w:ascii="Arial" w:hAnsi="Arial" w:cs="Arial"/>
              </w:rPr>
            </w:pPr>
            <w:r>
              <w:rPr>
                <w:rFonts w:eastAsia="Cambria" w:cs="Arial" w:ascii="Arial" w:hAnsi="Arial"/>
                <w:kern w:val="0"/>
                <w:lang w:val="en-US" w:eastAsia="en-US" w:bidi="ar-SA"/>
              </w:rPr>
              <w:t>Oral Presentation (10%)</w:t>
            </w:r>
          </w:p>
        </w:tc>
        <w:tc>
          <w:tcPr>
            <w:tcW w:w="4727" w:type="dxa"/>
            <w:tcBorders>
              <w:top w:val="nil"/>
            </w:tcBorders>
          </w:tcPr>
          <w:p>
            <w:pPr>
              <w:pStyle w:val="Normal"/>
              <w:widowControl/>
              <w:suppressAutoHyphens w:val="true"/>
              <w:spacing w:lineRule="auto" w:line="240" w:before="0" w:after="0"/>
              <w:jc w:val="left"/>
              <w:rPr>
                <w:rFonts w:ascii="Calibri" w:hAnsi="Calibri" w:cs="Calibri" w:asciiTheme="minorHAnsi" w:cstheme="minorHAnsi" w:hAnsiTheme="minorHAnsi"/>
              </w:rPr>
            </w:pPr>
            <w:r>
              <w:rPr>
                <w:rFonts w:cs="Calibri" w:cstheme="minorHAnsi"/>
              </w:rPr>
              <w:t>December 3</w:t>
            </w:r>
          </w:p>
        </w:tc>
      </w:tr>
      <w:tr>
        <w:trPr>
          <w:trHeight w:val="404" w:hRule="atLeast"/>
        </w:trPr>
        <w:tc>
          <w:tcPr>
            <w:tcW w:w="3347" w:type="dxa"/>
            <w:tcBorders/>
          </w:tcPr>
          <w:p>
            <w:pPr>
              <w:pStyle w:val="Normal"/>
              <w:widowControl/>
              <w:suppressAutoHyphens w:val="true"/>
              <w:spacing w:lineRule="auto" w:line="240" w:before="0" w:after="0"/>
              <w:jc w:val="left"/>
              <w:rPr>
                <w:rFonts w:ascii="Calibri" w:hAnsi="Calibri" w:cs="Calibri" w:asciiTheme="minorHAnsi" w:cstheme="minorHAnsi" w:hAnsiTheme="minorHAnsi"/>
              </w:rPr>
            </w:pPr>
            <w:r>
              <w:rPr>
                <w:rFonts w:eastAsia="Cambria" w:cs="Calibri" w:cstheme="minorHAnsi"/>
                <w:kern w:val="0"/>
                <w:sz w:val="22"/>
                <w:szCs w:val="22"/>
                <w:lang w:val="en-US" w:eastAsia="en-US" w:bidi="ar-SA"/>
              </w:rPr>
              <w:t>Literature Review (</w:t>
            </w:r>
            <w:r>
              <w:rPr>
                <w:rFonts w:eastAsia="Cambria" w:cs="Calibri" w:cstheme="minorHAnsi"/>
                <w:kern w:val="0"/>
                <w:sz w:val="22"/>
                <w:szCs w:val="22"/>
                <w:lang w:val="en-US" w:eastAsia="en-US" w:bidi="ar-SA"/>
              </w:rPr>
              <w:t>3</w:t>
            </w:r>
            <w:r>
              <w:rPr>
                <w:rFonts w:eastAsia="Cambria" w:cs="Calibri" w:cstheme="minorHAnsi"/>
                <w:kern w:val="0"/>
                <w:sz w:val="22"/>
                <w:szCs w:val="22"/>
                <w:lang w:val="en-US" w:eastAsia="en-US" w:bidi="ar-SA"/>
              </w:rPr>
              <w:t>0%)</w:t>
            </w:r>
          </w:p>
        </w:tc>
        <w:tc>
          <w:tcPr>
            <w:tcW w:w="4727" w:type="dxa"/>
            <w:tcBorders/>
          </w:tcPr>
          <w:p>
            <w:pPr>
              <w:pStyle w:val="Normal"/>
              <w:widowControl/>
              <w:suppressAutoHyphens w:val="true"/>
              <w:spacing w:lineRule="auto" w:line="240" w:before="0" w:after="0"/>
              <w:jc w:val="left"/>
              <w:rPr>
                <w:rFonts w:ascii="Calibri" w:hAnsi="Calibri" w:cs="Calibri" w:asciiTheme="minorHAnsi" w:cstheme="minorHAnsi" w:hAnsiTheme="minorHAnsi"/>
              </w:rPr>
            </w:pPr>
            <w:r>
              <w:rPr>
                <w:rFonts w:eastAsia="Cambria" w:cs="Calibri" w:cstheme="minorHAnsi"/>
                <w:kern w:val="0"/>
                <w:sz w:val="22"/>
                <w:szCs w:val="22"/>
                <w:lang w:val="en-US" w:eastAsia="en-US" w:bidi="ar-SA"/>
              </w:rPr>
              <w:t>Final literature review due December 5, 2025</w:t>
            </w:r>
          </w:p>
        </w:tc>
      </w:tr>
      <w:tr>
        <w:trPr>
          <w:trHeight w:val="340" w:hRule="atLeast"/>
        </w:trPr>
        <w:tc>
          <w:tcPr>
            <w:tcW w:w="3347" w:type="dxa"/>
            <w:tcBorders/>
          </w:tcPr>
          <w:p>
            <w:pPr>
              <w:pStyle w:val="Normal"/>
              <w:widowControl/>
              <w:suppressAutoHyphens w:val="true"/>
              <w:spacing w:lineRule="auto" w:line="240" w:before="0" w:after="0"/>
              <w:jc w:val="left"/>
              <w:rPr>
                <w:rFonts w:ascii="Calibri" w:hAnsi="Calibri" w:cs="Calibri" w:asciiTheme="minorHAnsi" w:cstheme="minorHAnsi" w:hAnsiTheme="minorHAnsi"/>
              </w:rPr>
            </w:pPr>
            <w:r>
              <w:rPr>
                <w:rFonts w:eastAsia="Cambria" w:cs="Calibri" w:cstheme="minorHAnsi"/>
                <w:kern w:val="0"/>
                <w:sz w:val="22"/>
                <w:szCs w:val="22"/>
                <w:lang w:val="en-US" w:eastAsia="en-US" w:bidi="ar-SA"/>
              </w:rPr>
              <w:t>Total (100%)</w:t>
            </w:r>
          </w:p>
        </w:tc>
        <w:tc>
          <w:tcPr>
            <w:tcW w:w="4727" w:type="dxa"/>
            <w:tcBorders/>
          </w:tcPr>
          <w:p>
            <w:pPr>
              <w:pStyle w:val="Normal"/>
              <w:widowControl/>
              <w:suppressAutoHyphens w:val="true"/>
              <w:spacing w:lineRule="auto" w:line="240" w:before="0" w:after="0"/>
              <w:jc w:val="left"/>
              <w:rPr>
                <w:rFonts w:ascii="Calibri" w:hAnsi="Calibri" w:cs="Calibri" w:asciiTheme="minorHAnsi" w:cstheme="minorHAnsi" w:hAnsiTheme="minorHAnsi"/>
              </w:rPr>
            </w:pPr>
            <w:r>
              <w:rPr>
                <w:rFonts w:cs="Calibri" w:cstheme="minorHAnsi"/>
              </w:rPr>
            </w:r>
          </w:p>
        </w:tc>
      </w:tr>
    </w:tbl>
    <w:p>
      <w:pPr>
        <w:pStyle w:val="Normal"/>
        <w:rPr/>
      </w:pPr>
      <w:r>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t>Course prerequisites:</w:t>
      </w:r>
    </w:p>
    <w:p>
      <w:pPr>
        <w:pStyle w:val="Normal"/>
        <w:numPr>
          <w:ilvl w:val="0"/>
          <w:numId w:val="2"/>
        </w:numPr>
        <w:rPr>
          <w:b w:val="false"/>
          <w:bCs w:val="false"/>
          <w:sz w:val="28"/>
          <w:szCs w:val="28"/>
        </w:rPr>
      </w:pPr>
      <w:r>
        <w:rPr>
          <w:b w:val="false"/>
          <w:bCs w:val="false"/>
          <w:sz w:val="24"/>
          <w:szCs w:val="28"/>
        </w:rPr>
        <w:t xml:space="preserve">BIOL 228, 301 </w:t>
      </w:r>
      <w:r>
        <w:rPr>
          <w:b w:val="false"/>
          <w:bCs w:val="false"/>
          <w:color w:val="000000"/>
          <w:sz w:val="24"/>
          <w:szCs w:val="28"/>
          <w:shd w:fill="FFFFFF" w:val="clear"/>
        </w:rPr>
        <w:t>and min 9cu of senior BIOL credits 300 level or higher (required)</w:t>
      </w:r>
    </w:p>
    <w:p>
      <w:pPr>
        <w:pStyle w:val="Normal"/>
        <w:numPr>
          <w:ilvl w:val="0"/>
          <w:numId w:val="2"/>
        </w:numPr>
        <w:rPr>
          <w:b w:val="false"/>
          <w:bCs w:val="false"/>
          <w:sz w:val="28"/>
          <w:szCs w:val="28"/>
        </w:rPr>
      </w:pPr>
      <w:r>
        <w:rPr>
          <w:b w:val="false"/>
          <w:bCs w:val="false"/>
          <w:color w:val="000000"/>
          <w:sz w:val="24"/>
          <w:szCs w:val="28"/>
          <w:shd w:fill="FFFFFF" w:val="clear"/>
        </w:rPr>
        <w:t xml:space="preserve">BIOL 373 and </w:t>
      </w:r>
      <w:r>
        <w:rPr>
          <w:b w:val="false"/>
          <w:bCs w:val="false"/>
          <w:sz w:val="24"/>
          <w:szCs w:val="28"/>
        </w:rPr>
        <w:t>458 (recommended)</w:t>
      </w:r>
    </w:p>
    <w:p>
      <w:pPr>
        <w:pStyle w:val="Normal"/>
        <w:rPr>
          <w:b/>
          <w:bCs/>
          <w:sz w:val="28"/>
          <w:szCs w:val="28"/>
        </w:rPr>
      </w:pPr>
      <w:r>
        <w:rPr>
          <w:b/>
          <w:bCs/>
          <w:sz w:val="28"/>
          <w:szCs w:val="28"/>
        </w:rPr>
      </w:r>
    </w:p>
    <w:p>
      <w:pPr>
        <w:pStyle w:val="Normal"/>
        <w:rPr>
          <w:b/>
          <w:bCs/>
          <w:sz w:val="28"/>
          <w:szCs w:val="28"/>
        </w:rPr>
      </w:pPr>
      <w:r>
        <w:rPr>
          <w:b/>
          <w:bCs/>
          <w:sz w:val="28"/>
          <w:szCs w:val="28"/>
        </w:rPr>
        <w:t>Required Reading</w:t>
      </w:r>
    </w:p>
    <w:p>
      <w:pPr>
        <w:pStyle w:val="Normal"/>
        <w:rPr>
          <w:color w:val="222222"/>
          <w:lang w:val="en-US"/>
        </w:rPr>
      </w:pPr>
      <w:r>
        <w:rPr>
          <w:color w:val="222222"/>
          <w:lang w:val="en-US"/>
        </w:rPr>
        <w:t xml:space="preserve">Shonfield, J., &amp; Bayne, E. (2017). Autonomous recording units in avian ecological research: current use and future applications. </w:t>
      </w:r>
      <w:r>
        <w:rPr>
          <w:i/>
          <w:iCs/>
          <w:color w:val="222222"/>
          <w:lang w:val="en-US"/>
        </w:rPr>
        <w:t>Avian Conservation and Ecology</w:t>
      </w:r>
      <w:r>
        <w:rPr>
          <w:color w:val="222222"/>
          <w:lang w:val="en-US"/>
        </w:rPr>
        <w:t xml:space="preserve">, </w:t>
      </w:r>
      <w:r>
        <w:rPr>
          <w:i/>
          <w:iCs/>
          <w:color w:val="222222"/>
          <w:lang w:val="en-US"/>
        </w:rPr>
        <w:t>12</w:t>
      </w:r>
      <w:r>
        <w:rPr>
          <w:color w:val="222222"/>
          <w:lang w:val="en-US"/>
        </w:rPr>
        <w:t>(1).</w:t>
      </w:r>
    </w:p>
    <w:p>
      <w:pPr>
        <w:pStyle w:val="Normal"/>
        <w:rPr>
          <w:color w:val="222222"/>
          <w:lang w:val="en-US"/>
        </w:rPr>
      </w:pPr>
      <w:r>
        <w:rPr>
          <w:color w:val="222222"/>
          <w:lang w:val="en-US"/>
        </w:rPr>
        <w:t>Huus, J., Kelly, G., Bayne, E M., &amp; Knight, E. (2025). HawkEars: A regional, high-performance avian acoustic classifier.</w:t>
      </w:r>
      <w:r>
        <w:rPr>
          <w:i/>
          <w:iCs/>
          <w:color w:val="222222"/>
          <w:lang w:val="en-US"/>
        </w:rPr>
        <w:t xml:space="preserve"> Ecological Informatics</w:t>
      </w:r>
      <w:r>
        <w:rPr>
          <w:color w:val="222222"/>
          <w:lang w:val="en-US"/>
        </w:rPr>
        <w:t>, 87.</w:t>
      </w:r>
    </w:p>
    <w:p>
      <w:pPr>
        <w:pStyle w:val="Normal"/>
        <w:rPr>
          <w:color w:val="222222"/>
          <w:lang w:val="en-US"/>
        </w:rPr>
      </w:pPr>
      <w:r>
        <w:rPr>
          <w:color w:val="222222"/>
          <w:lang w:val="en-US"/>
        </w:rPr>
        <w:t xml:space="preserve">Knight, E., Hannah, K., Foley, G., Scott, C., Brigham, R., &amp; Bayne, E. (2017). Recommendations for acoustic recognizer performance assessment with application to five common automated signal recognition programs. </w:t>
      </w:r>
      <w:r>
        <w:rPr>
          <w:i/>
          <w:iCs/>
          <w:color w:val="222222"/>
          <w:lang w:val="en-US"/>
        </w:rPr>
        <w:t>Avian Conservation and Ecology</w:t>
      </w:r>
      <w:r>
        <w:rPr>
          <w:color w:val="222222"/>
          <w:lang w:val="en-US"/>
        </w:rPr>
        <w:t xml:space="preserve">, </w:t>
      </w:r>
      <w:r>
        <w:rPr>
          <w:i/>
          <w:iCs/>
          <w:color w:val="222222"/>
          <w:lang w:val="en-US"/>
        </w:rPr>
        <w:t>12</w:t>
      </w:r>
      <w:r>
        <w:rPr>
          <w:color w:val="222222"/>
          <w:lang w:val="en-US"/>
        </w:rPr>
        <w:t>(2).</w:t>
      </w:r>
    </w:p>
    <w:p>
      <w:pPr>
        <w:pStyle w:val="Normal"/>
        <w:rPr>
          <w:color w:val="222222"/>
          <w:lang w:val="en-US"/>
        </w:rPr>
      </w:pPr>
      <w:r>
        <w:rPr>
          <w:color w:val="222222"/>
          <w:lang w:val="en-US"/>
        </w:rPr>
        <w:t xml:space="preserve">Priyadarshani, N., Marsland, S., &amp; Castro, I. (2018). Automated birdsong recognition in complex acoustic environments: a review. </w:t>
      </w:r>
      <w:r>
        <w:rPr>
          <w:i/>
          <w:iCs/>
          <w:color w:val="222222"/>
          <w:lang w:val="en-US"/>
        </w:rPr>
        <w:t>Journal of Avian Biology</w:t>
      </w:r>
      <w:r>
        <w:rPr>
          <w:color w:val="222222"/>
          <w:lang w:val="en-US"/>
        </w:rPr>
        <w:t xml:space="preserve">, </w:t>
      </w:r>
      <w:r>
        <w:rPr>
          <w:i/>
          <w:iCs/>
          <w:color w:val="222222"/>
          <w:lang w:val="en-US"/>
        </w:rPr>
        <w:t>49</w:t>
      </w:r>
      <w:r>
        <w:rPr>
          <w:color w:val="222222"/>
          <w:lang w:val="en-US"/>
        </w:rPr>
        <w:t>(5), jav-01447.</w:t>
      </w:r>
    </w:p>
    <w:p>
      <w:pPr>
        <w:pStyle w:val="Normal"/>
        <w:spacing w:before="0" w:after="160"/>
        <w:rPr/>
      </w:pPr>
      <w:r>
        <w:rPr/>
      </w:r>
    </w:p>
    <w:sectPr>
      <w:type w:val="nextPage"/>
      <w:pgSz w:w="12240" w:h="15840"/>
      <w:pgMar w:left="1440" w:right="1440" w:gutter="0" w:header="0" w:top="1135"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410" w:hanging="360"/>
      </w:pPr>
      <w:rPr>
        <w:rFonts w:ascii="Symbol" w:hAnsi="Symbol" w:cs="Symbol" w:hint="default"/>
      </w:rPr>
    </w:lvl>
    <w:lvl w:ilvl="1">
      <w:start w:val="1"/>
      <w:numFmt w:val="bullet"/>
      <w:lvlText w:val="o"/>
      <w:lvlJc w:val="left"/>
      <w:pPr>
        <w:tabs>
          <w:tab w:val="num" w:pos="0"/>
        </w:tabs>
        <w:ind w:left="1130" w:hanging="360"/>
      </w:pPr>
      <w:rPr>
        <w:rFonts w:ascii="Courier New" w:hAnsi="Courier New" w:cs="Courier New" w:hint="default"/>
      </w:rPr>
    </w:lvl>
    <w:lvl w:ilvl="2">
      <w:start w:val="1"/>
      <w:numFmt w:val="bullet"/>
      <w:lvlText w:val=""/>
      <w:lvlJc w:val="left"/>
      <w:pPr>
        <w:tabs>
          <w:tab w:val="num" w:pos="0"/>
        </w:tabs>
        <w:ind w:left="1850" w:hanging="360"/>
      </w:pPr>
      <w:rPr>
        <w:rFonts w:ascii="Wingdings" w:hAnsi="Wingdings" w:cs="Wingdings" w:hint="default"/>
      </w:rPr>
    </w:lvl>
    <w:lvl w:ilvl="3">
      <w:start w:val="1"/>
      <w:numFmt w:val="bullet"/>
      <w:lvlText w:val=""/>
      <w:lvlJc w:val="left"/>
      <w:pPr>
        <w:tabs>
          <w:tab w:val="num" w:pos="0"/>
        </w:tabs>
        <w:ind w:left="2570" w:hanging="360"/>
      </w:pPr>
      <w:rPr>
        <w:rFonts w:ascii="Symbol" w:hAnsi="Symbol" w:cs="Symbol" w:hint="default"/>
      </w:rPr>
    </w:lvl>
    <w:lvl w:ilvl="4">
      <w:start w:val="1"/>
      <w:numFmt w:val="bullet"/>
      <w:lvlText w:val="o"/>
      <w:lvlJc w:val="left"/>
      <w:pPr>
        <w:tabs>
          <w:tab w:val="num" w:pos="0"/>
        </w:tabs>
        <w:ind w:left="3290" w:hanging="360"/>
      </w:pPr>
      <w:rPr>
        <w:rFonts w:ascii="Courier New" w:hAnsi="Courier New" w:cs="Courier New" w:hint="default"/>
      </w:rPr>
    </w:lvl>
    <w:lvl w:ilvl="5">
      <w:start w:val="1"/>
      <w:numFmt w:val="bullet"/>
      <w:lvlText w:val=""/>
      <w:lvlJc w:val="left"/>
      <w:pPr>
        <w:tabs>
          <w:tab w:val="num" w:pos="0"/>
        </w:tabs>
        <w:ind w:left="4010" w:hanging="360"/>
      </w:pPr>
      <w:rPr>
        <w:rFonts w:ascii="Wingdings" w:hAnsi="Wingdings" w:cs="Wingdings" w:hint="default"/>
      </w:rPr>
    </w:lvl>
    <w:lvl w:ilvl="6">
      <w:start w:val="1"/>
      <w:numFmt w:val="bullet"/>
      <w:lvlText w:val=""/>
      <w:lvlJc w:val="left"/>
      <w:pPr>
        <w:tabs>
          <w:tab w:val="num" w:pos="0"/>
        </w:tabs>
        <w:ind w:left="4730" w:hanging="360"/>
      </w:pPr>
      <w:rPr>
        <w:rFonts w:ascii="Symbol" w:hAnsi="Symbol" w:cs="Symbol" w:hint="default"/>
      </w:rPr>
    </w:lvl>
    <w:lvl w:ilvl="7">
      <w:start w:val="1"/>
      <w:numFmt w:val="bullet"/>
      <w:lvlText w:val="o"/>
      <w:lvlJc w:val="left"/>
      <w:pPr>
        <w:tabs>
          <w:tab w:val="num" w:pos="0"/>
        </w:tabs>
        <w:ind w:left="5450" w:hanging="360"/>
      </w:pPr>
      <w:rPr>
        <w:rFonts w:ascii="Courier New" w:hAnsi="Courier New" w:cs="Courier New" w:hint="default"/>
      </w:rPr>
    </w:lvl>
    <w:lvl w:ilvl="8">
      <w:start w:val="1"/>
      <w:numFmt w:val="bullet"/>
      <w:lvlText w:val=""/>
      <w:lvlJc w:val="left"/>
      <w:pPr>
        <w:tabs>
          <w:tab w:val="num" w:pos="0"/>
        </w:tabs>
        <w:ind w:left="617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CA" w:eastAsia="en-US" w:bidi="ar-SA"/>
    </w:rPr>
  </w:style>
  <w:style w:type="paragraph" w:styleId="Heading1">
    <w:name w:val="heading 1"/>
    <w:basedOn w:val="Heading"/>
    <w:next w:val="BodyText"/>
    <w:qFormat/>
    <w:pPr>
      <w:spacing w:before="240" w:after="120"/>
      <w:outlineLvl w:val="0"/>
    </w:pPr>
    <w:rPr>
      <w:rFonts w:ascii="Liberation Serif" w:hAnsi="Liberation Serif" w:eastAsia="DejaVu Sans" w:cs="Noto Sans Arabic"/>
      <w:b/>
      <w:bCs/>
      <w:sz w:val="48"/>
      <w:szCs w:val="48"/>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2f1db1"/>
    <w:rPr>
      <w:color w:themeColor="hyperlink" w:val="0563C1"/>
      <w:u w:val="single"/>
    </w:rPr>
  </w:style>
  <w:style w:type="character" w:styleId="UnresolvedMention1" w:customStyle="1">
    <w:name w:val="Unresolved Mention1"/>
    <w:basedOn w:val="DefaultParagraphFont"/>
    <w:uiPriority w:val="99"/>
    <w:semiHidden/>
    <w:unhideWhenUsed/>
    <w:qFormat/>
    <w:rsid w:val="002f1db1"/>
    <w:rPr>
      <w:color w:val="605E5C"/>
      <w:shd w:fill="E1DFDD" w:val="clear"/>
    </w:rPr>
  </w:style>
  <w:style w:type="character" w:styleId="NumberingSymbols">
    <w:name w:val="Numbering Symbols"/>
    <w:qFormat/>
    <w:rPr/>
  </w:style>
  <w:style w:type="character" w:styleId="Bulletsuser">
    <w:name w:val="Bullets (user)"/>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2f1db1"/>
    <w:pPr>
      <w:spacing w:lineRule="auto" w:line="276" w:before="0" w:after="200"/>
      <w:ind w:left="720"/>
      <w:contextualSpacing/>
    </w:pPr>
    <w:rPr/>
  </w:style>
  <w:style w:type="paragraph" w:styleId="NormalWeb">
    <w:name w:val="Normal (Web)"/>
    <w:basedOn w:val="Normal"/>
    <w:uiPriority w:val="99"/>
    <w:unhideWhenUsed/>
    <w:qFormat/>
    <w:rsid w:val="002f1db1"/>
    <w:pPr>
      <w:spacing w:lineRule="auto" w:line="240" w:before="0" w:after="0"/>
    </w:pPr>
    <w:rPr>
      <w:rFonts w:ascii="Times New Roman" w:hAnsi="Times New Roman" w:cs="Times New Roman"/>
      <w:sz w:val="24"/>
      <w:szCs w:val="24"/>
      <w:lang w:eastAsia="en-CA"/>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user">
    <w:name w:val="Frame Contents (user)"/>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f1db1"/>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mcmanus@birdscanada.org" TargetMode="External"/><Relationship Id="rId3" Type="http://schemas.openxmlformats.org/officeDocument/2006/relationships/hyperlink" Target="mailto:Christy.morrissey@usask.ca"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598</TotalTime>
  <Application>LibreOffice/25.2.5.2$Linux_X86_64 LibreOffice_project/520$Build-2</Application>
  <AppVersion>15.0000</AppVersion>
  <Pages>2</Pages>
  <Words>440</Words>
  <Characters>2630</Characters>
  <CharactersWithSpaces>3030</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2020-03-17T05:23:00Z</dcterms:created>
  <dc:creator>Morrissey, Christy</dc:creator>
  <dc:description/>
  <dc:language>en-US</dc:language>
  <cp:lastModifiedBy/>
  <dcterms:modified xsi:type="dcterms:W3CDTF">2025-09-03T17:06:19Z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